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ASD DINAMICA - PENSARE 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PIANO ECONOMICO-FINANZIARIO (PEF)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Gestione Palazzetto Comunale di Passirano (Palaverde) e palestra di Camignone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Periodo di piano: 2026-2040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  <w:t xml:space="preserve">Data: 16/02/2026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rPr/>
      </w:pPr>
      <w:r w:rsidDel="00000000" w:rsidR="00000000" w:rsidRPr="00000000">
        <w:rPr>
          <w:rtl w:val="0"/>
        </w:rPr>
        <w:t xml:space="preserve">1. Executive summary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Il presente Piano Economico-Finanziario (PEF) sintetizza la sostenibilita' economica e finanziaria della proposta di affidamento in gestione del Palazzetto Comunale di Passirano (Palaverde) e della palestra di Camignone da parte di ASD Dinamica - Pensare Sport. Il piano e' costruito sui bilanci previsionali 2026-2040 e sulle assunzioni esplicitate, con criteri prudenziali.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Elementi qualificanti per l'Ente concedente: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Impegno a realizzare il rifacimento degli spogliatoi nell'anno 2029 (costo lavori: € 43.984,77).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Copertura totale a carico dell'ASD delle utenze di acqua e TARI.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Concorso spese per utenze di energia e riscaldamento secondo il profilo riportato nella pagina 'Assunzioni' (costo reale nei prospetti).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Equilibrio di gestione e avanzi contenuti, destinati a riserva/manutenzioni e al miglioramento del servizio.</w:t>
      </w:r>
    </w:p>
    <w:p w:rsidR="00000000" w:rsidDel="00000000" w:rsidP="00000000" w:rsidRDefault="00000000" w:rsidRPr="00000000" w14:paraId="0000000F">
      <w:pPr>
        <w:pStyle w:val="Heading1"/>
        <w:rPr/>
      </w:pPr>
      <w:r w:rsidDel="00000000" w:rsidR="00000000" w:rsidRPr="00000000">
        <w:rPr>
          <w:rtl w:val="0"/>
        </w:rPr>
        <w:t xml:space="preserve">2. Perimetro e assunzioni principali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Orizzonte temporale: 2026-2040 (15 esercizi).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Tasso di attualizzazione utilizzato per gli indicatori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Il tasso di attualizzazione è determinato dall'applicazione della seguente formula:</w:t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  <w:t xml:space="preserve">WACC= D/(D+E)*Kd + E/(D+E)*Ke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Di cui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Ke = Rf + (Rm-Rf) * b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Kd= Rf+(Rd-Rf)*(1-t)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dove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bCs w:val="1"/>
          <w:rtl w:val="0"/>
        </w:rPr>
        <w:t xml:space="preserve">Rf</w:t>
      </w:r>
      <w:r w:rsidDel="00000000" w:rsidR="00000000" w:rsidRPr="00000000">
        <w:rPr>
          <w:rtl w:val="0"/>
        </w:rPr>
        <w:t xml:space="preserve"> = Rendimento corrente degli investimenti a lunga scadenza (titoli di stato);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bCs w:val="1"/>
          <w:rtl w:val="0"/>
        </w:rPr>
        <w:t xml:space="preserve">Rm</w:t>
      </w:r>
      <w:r w:rsidDel="00000000" w:rsidR="00000000" w:rsidRPr="00000000">
        <w:rPr>
          <w:rtl w:val="0"/>
        </w:rPr>
        <w:t xml:space="preserve"> = Rendimento medio del mercato azionario;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bCs w:val="1"/>
          <w:rtl w:val="0"/>
        </w:rPr>
        <w:t xml:space="preserve">b</w:t>
      </w:r>
      <w:r w:rsidDel="00000000" w:rsidR="00000000" w:rsidRPr="00000000">
        <w:rPr>
          <w:rtl w:val="0"/>
        </w:rPr>
        <w:t xml:space="preserve">= coefficiente di rischio specifico del settore di riferimento.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bCs w:val="1"/>
          <w:rtl w:val="0"/>
        </w:rPr>
        <w:t xml:space="preserve">Kd=</w:t>
      </w:r>
      <w:r w:rsidDel="00000000" w:rsidR="00000000" w:rsidRPr="00000000">
        <w:rPr>
          <w:rtl w:val="0"/>
        </w:rPr>
        <w:t xml:space="preserve">onerosità media del debito esistente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bCs w:val="1"/>
          <w:rtl w:val="0"/>
        </w:rPr>
        <w:t xml:space="preserve">t= </w:t>
      </w:r>
      <w:r w:rsidDel="00000000" w:rsidR="00000000" w:rsidRPr="00000000">
        <w:rPr>
          <w:rtl w:val="0"/>
        </w:rPr>
        <w:t xml:space="preserve">aliquota fiscale marginale effettiva sugli interessi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1080" w:hanging="360"/>
        <w:rPr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Determinazione di Ke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Esso è dunque influenzato da due componenti: il rendimento di investimenti privi di rischio e l'apprezzamento del rischio.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Per determinare il tasso di remunerazione di investimenti privi di rischio si fa generalmente riferimento al rendimento dei titoli di Stato.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Il </w:t>
      </w:r>
      <w:r w:rsidDel="00000000" w:rsidR="00000000" w:rsidRPr="00000000">
        <w:rPr>
          <w:i w:val="1"/>
          <w:iCs w:val="1"/>
          <w:rtl w:val="0"/>
        </w:rPr>
        <w:t xml:space="preserve">Risk Free Rate </w:t>
      </w:r>
      <w:r w:rsidDel="00000000" w:rsidR="00000000" w:rsidRPr="00000000">
        <w:rPr>
          <w:rtl w:val="0"/>
        </w:rPr>
        <w:t xml:space="preserve">è stato valorizzato in misura pari all'2,75% corrispondente al rendimento lordo dei BTP - Buoni del Tesoro Pluriennali - a 5 anni, come rilevato dalla recente consultazione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Il premio per il rischio invece rappresenta il tasso di remunerazione per il rischio di impresa, è la maggiorazione di rendimento richiesta da chi investe in azioni rispetto a titoli che non presentano caratteristiche di volatilità nei rendimenti (e.cl. titoli </w:t>
      </w:r>
      <w:r w:rsidDel="00000000" w:rsidR="00000000" w:rsidRPr="00000000">
        <w:rPr>
          <w:i w:val="1"/>
          <w:iCs w:val="1"/>
          <w:rtl w:val="0"/>
        </w:rPr>
        <w:t xml:space="preserve">free risk).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Dai dati del mercato azionario, e considerato il lungo periodo, emerge un rendimento medio per le attività rischiose pari al 7-12%.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Prendendo in considerazione il valore medio del 9,50%, conseguentemente il premio per il rischio (Rm - Rf) è quantificabile nel 6,80%.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Il rischio di settore può essere misurato utilizzando un indicatore come il </w:t>
      </w:r>
      <w:r w:rsidDel="00000000" w:rsidR="00000000" w:rsidRPr="00000000">
        <w:rPr>
          <w:b w:val="1"/>
          <w:bCs w:val="1"/>
          <w:rtl w:val="0"/>
        </w:rPr>
        <w:t xml:space="preserve">beta</w:t>
      </w:r>
      <w:r w:rsidDel="00000000" w:rsidR="00000000" w:rsidRPr="00000000">
        <w:rPr>
          <w:rtl w:val="0"/>
        </w:rPr>
        <w:t xml:space="preserve">, che rappresenta la volatilità di un settore rispetto al mercato generale. In media, non avendo dati comparabili, per prudenza si è assunto un valore di beta pari a 1.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Ke = Rf + (Rm-Rf) * b= 10% 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1080" w:hanging="360"/>
        <w:rPr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Determinazione di Kd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Non essendoci indebitamento bancario, il Kd risulta essere pari a zero.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Pertanto il tasso di attualizzazione WACC risulta essere pari al Ke ovvero pari al 10%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Criteri di riclassificazione PEF: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lavori spogliatoi sono trattati come investimento (CAPEX) ai fini del cash flow.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Apporti soci e utilizzo del fondo spogliatoi sono trattati come fonti di copertura nel patrimonio netto.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bilanci annuali di dettaglio restano parte integrante dell'istruttoria (allegato economico).</w:t>
      </w:r>
    </w:p>
    <w:p w:rsidR="00000000" w:rsidDel="00000000" w:rsidP="00000000" w:rsidRDefault="00000000" w:rsidRPr="00000000" w14:paraId="00000030">
      <w:pPr>
        <w:pStyle w:val="Heading1"/>
        <w:rPr/>
      </w:pPr>
      <w:r w:rsidDel="00000000" w:rsidR="00000000" w:rsidRPr="00000000">
        <w:rPr>
          <w:rtl w:val="0"/>
        </w:rPr>
        <w:t xml:space="preserve">3. Utenze e impegni verso l'Ente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Il progetto prevede un impegno diretto dell'ASD sulla gestione delle utenze, distinguendo: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Acqua e TARI: copertura integrale a carico dell'ASD (costo annuo nei bilanci).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Energia e riscaldamento: concorso spese annuo a carico dell'ASD secondo il profilo in 'Assunzioni'.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Sintesi impegni utenze (estratto dai bilanci):</w:t>
      </w:r>
    </w:p>
    <w:tbl>
      <w:tblPr>
        <w:tblStyle w:val="Table1"/>
        <w:tblW w:w="99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90"/>
        <w:gridCol w:w="2490"/>
        <w:gridCol w:w="2492"/>
        <w:gridCol w:w="2490"/>
        <w:tblGridChange w:id="0">
          <w:tblGrid>
            <w:gridCol w:w="2490"/>
            <w:gridCol w:w="2490"/>
            <w:gridCol w:w="2492"/>
            <w:gridCol w:w="24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Anno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Acqua+TARI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Concorso energia/riscaldamento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Totale impegno utenze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2026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€ 4.000,00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€ 0,00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€ 4.000,00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2027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€ 4.000,00</w:t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€ 12.000,00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2028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€ 4.120,00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€ 12.120,00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2029</w:t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€ 4.200,00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€ 12.200,00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2030</w:t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€ 4.326,00</w:t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€ 12.326,00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2031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€ 4.456,00</w:t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€ 12.456,00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2032</w:t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€ 4.589,00</w:t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€ 13.589,00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2033</w:t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€ 4.727,00</w:t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€ 13.727,00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2034</w:t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€ 4.869,00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€ 13.869,00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2035</w:t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€ 5.015,00</w:t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€ 14.015,00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2036</w:t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€ 5.165,00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€ 14.165,00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2037</w:t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€ 5.165,00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€ 10.000,00</w:t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€ 15.165,00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2038</w:t>
            </w:r>
          </w:p>
        </w:tc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€ 5.165,00</w:t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€ 10.000,00</w:t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€ 15.165,00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2039</w:t>
            </w:r>
          </w:p>
        </w:tc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€ 5.320,00</w:t>
            </w:r>
          </w:p>
        </w:tc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€ 10.000,00</w:t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€ 15.320,00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2040</w:t>
            </w:r>
          </w:p>
        </w:tc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€ 5.480,00</w:t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€ 10.000,00</w:t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€ 15.480,00</w:t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Profilo del concorso spese utenze (da 'Assunzioni'):</w:t>
      </w:r>
    </w:p>
    <w:tbl>
      <w:tblPr>
        <w:tblStyle w:val="Table2"/>
        <w:tblW w:w="99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81"/>
        <w:gridCol w:w="4981"/>
        <w:tblGridChange w:id="0">
          <w:tblGrid>
            <w:gridCol w:w="4981"/>
            <w:gridCol w:w="4981"/>
          </w:tblGrid>
        </w:tblGridChange>
      </w:tblGrid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Anno</w:t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Concorso utenze (EUR)</w:t>
            </w:r>
          </w:p>
        </w:tc>
      </w:tr>
      <w:tr>
        <w:trPr>
          <w:cantSplit w:val="0"/>
          <w:trHeight w:val="245" w:hRule="atLeast"/>
          <w:tblHeader w:val="0"/>
        </w:trPr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2027</w:t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2028</w:t>
            </w:r>
          </w:p>
        </w:tc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2029</w:t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</w:tr>
      <w:tr>
        <w:trPr>
          <w:cantSplit w:val="0"/>
          <w:trHeight w:val="245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2030</w:t>
            </w:r>
          </w:p>
        </w:tc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2031</w:t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€ 8.000,00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  <w:t xml:space="preserve">2032</w:t>
            </w:r>
          </w:p>
        </w:tc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2033</w:t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</w:tr>
      <w:tr>
        <w:trPr>
          <w:cantSplit w:val="0"/>
          <w:trHeight w:val="245" w:hRule="atLeast"/>
          <w:tblHeader w:val="0"/>
        </w:trPr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2034</w:t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2035</w:t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2036</w:t>
            </w:r>
          </w:p>
        </w:tc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€ 9.000,00</w:t>
            </w:r>
          </w:p>
        </w:tc>
      </w:tr>
      <w:tr>
        <w:trPr>
          <w:cantSplit w:val="0"/>
          <w:trHeight w:val="245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2037</w:t>
            </w:r>
          </w:p>
        </w:tc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€ 10.000,00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2038</w:t>
            </w:r>
          </w:p>
        </w:tc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€ 10.000,00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2039</w:t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€ 10.000,00</w:t>
            </w:r>
          </w:p>
        </w:tc>
      </w:tr>
      <w:tr>
        <w:trPr>
          <w:cantSplit w:val="0"/>
          <w:trHeight w:val="245" w:hRule="atLeast"/>
          <w:tblHeader w:val="0"/>
        </w:trPr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2040</w:t>
            </w:r>
          </w:p>
        </w:tc>
        <w:tc>
          <w:tcPr/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€ 10.000,00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both"/>
        <w:rPr/>
      </w:pPr>
      <w:r w:rsidDel="00000000" w:rsidR="00000000" w:rsidRPr="00000000">
        <w:rPr>
          <w:rtl w:val="0"/>
        </w:rPr>
        <w:t xml:space="preserve">Parimenti è doveroso segnalare che all’interno del conto economico previsionale dell’ASD DInamica vi sono costi promiscui, difficilmente misurabili e scomputabili, di cui l’Associazione si fa carico a beneficio dell’Amministrazione e delle altre realtà che utilizzano la struttura.</w:t>
      </w:r>
    </w:p>
    <w:p w:rsidR="00000000" w:rsidDel="00000000" w:rsidP="00000000" w:rsidRDefault="00000000" w:rsidRPr="00000000" w14:paraId="00000096">
      <w:pPr>
        <w:jc w:val="both"/>
        <w:rPr/>
      </w:pPr>
      <w:r w:rsidDel="00000000" w:rsidR="00000000" w:rsidRPr="00000000">
        <w:rPr>
          <w:rtl w:val="0"/>
        </w:rPr>
        <w:t xml:space="preserve">In via espemplificativa troviamo: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Costi di pulizia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Costi di apertura e chiusura del palazzetto (una persona che apre e chiude due palestre sei giorni su sette)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Acqua e TARI in toto e non in quota parte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Tutte le manutenzioni ordinarie tra cui il controllo degli ascensori, degli estintori e della messa a terra </w:t>
      </w:r>
    </w:p>
    <w:p w:rsidR="00000000" w:rsidDel="00000000" w:rsidP="00000000" w:rsidRDefault="00000000" w:rsidRPr="00000000" w14:paraId="0000009B">
      <w:pPr>
        <w:jc w:val="both"/>
        <w:rPr/>
      </w:pPr>
      <w:r w:rsidDel="00000000" w:rsidR="00000000" w:rsidRPr="00000000">
        <w:rPr>
          <w:rtl w:val="0"/>
        </w:rPr>
        <w:t xml:space="preserve">La somma di queste spese sommerse e promiscue, riscontrabili nel conto economico dell’associazione, ammonta a circa 20.000 euro. </w:t>
      </w:r>
    </w:p>
    <w:p w:rsidR="00000000" w:rsidDel="00000000" w:rsidP="00000000" w:rsidRDefault="00000000" w:rsidRPr="00000000" w14:paraId="0000009C">
      <w:pPr>
        <w:pStyle w:val="Heading1"/>
        <w:rPr/>
      </w:pPr>
      <w:r w:rsidDel="00000000" w:rsidR="00000000" w:rsidRPr="00000000">
        <w:rPr>
          <w:rtl w:val="0"/>
        </w:rPr>
        <w:t xml:space="preserve">4. Intervento di rifacimento spogliatoi (anno 2029)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L'ASD Dinamica si impegna a realizzare l'intervento di rifacimento spogliatoi nell'anno 2029. La copertura e' garantita mediante fondo vincolato, apporto dei soci e autofinanziamento operativo, mantenendo l'equilibrio del bilancio.</w:t>
      </w:r>
    </w:p>
    <w:tbl>
      <w:tblPr>
        <w:tblStyle w:val="Table3"/>
        <w:tblW w:w="99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82"/>
        <w:gridCol w:w="4980"/>
        <w:tblGridChange w:id="0">
          <w:tblGrid>
            <w:gridCol w:w="4982"/>
            <w:gridCol w:w="49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Voce</w:t>
            </w:r>
          </w:p>
        </w:tc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Importo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Costo intervento (IVA compresa)</w:t>
            </w:r>
          </w:p>
        </w:tc>
        <w:tc>
          <w:tcPr/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€ 43.984,77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Copertura: fondo vincolato spogliatoi</w:t>
            </w:r>
          </w:p>
        </w:tc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€ 16.000,00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Copertura: apporto soci</w:t>
            </w:r>
          </w:p>
        </w:tc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€ 12.859,77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Copertura: autofinanziamento operativo</w:t>
            </w:r>
          </w:p>
        </w:tc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€ 15.125,00</w:t>
            </w:r>
          </w:p>
        </w:tc>
      </w:tr>
    </w:tbl>
    <w:p w:rsidR="00000000" w:rsidDel="00000000" w:rsidP="00000000" w:rsidRDefault="00000000" w:rsidRPr="00000000" w14:paraId="000000A8">
      <w:pPr>
        <w:pStyle w:val="Heading1"/>
        <w:rPr/>
      </w:pPr>
      <w:r w:rsidDel="00000000" w:rsidR="00000000" w:rsidRPr="00000000">
        <w:rPr>
          <w:rtl w:val="0"/>
        </w:rPr>
        <w:t xml:space="preserve">5. Prospetti economico-finanziari (sintesi)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I seguenti prospetti riclassificati sono riportati per la valutazione di sostenibilita'.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Formazione dei ricavi:</w:t>
      </w:r>
    </w:p>
    <w:tbl>
      <w:tblPr>
        <w:tblStyle w:val="Table4"/>
        <w:tblW w:w="9962.0" w:type="dxa"/>
        <w:jc w:val="left"/>
        <w:tblLayout w:type="fixed"/>
        <w:tblLook w:val="0400"/>
      </w:tblPr>
      <w:tblGrid>
        <w:gridCol w:w="2047"/>
        <w:gridCol w:w="1130"/>
        <w:gridCol w:w="1130"/>
        <w:gridCol w:w="1131"/>
        <w:gridCol w:w="1131"/>
        <w:gridCol w:w="1131"/>
        <w:gridCol w:w="1131"/>
        <w:gridCol w:w="1131"/>
        <w:tblGridChange w:id="0">
          <w:tblGrid>
            <w:gridCol w:w="2047"/>
            <w:gridCol w:w="1130"/>
            <w:gridCol w:w="1130"/>
            <w:gridCol w:w="1131"/>
            <w:gridCol w:w="1131"/>
            <w:gridCol w:w="1131"/>
            <w:gridCol w:w="1131"/>
            <w:gridCol w:w="1131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VOCE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2026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2027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2028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2029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RICAVI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Sponsorizzazioni e pubblicità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€ 3.274,00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€ 3.274,00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affitti e società sportive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€ 3.876,00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€ 4.264,00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€ 4.264,00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€ 4.562,00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€ 4.562,00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calcetto e attività amatoriali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€ 3.366,00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€ 3.366,00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€ 3.602,00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€ 3.602,00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corrispettivi bar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€ 3.570,00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€ 3.570,00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€ 3.570,00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€ 3.820,00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€ 3.820,00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quote associative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€ 120.000,00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€ 131.950,00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€ 131.950,00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€ 142.506,00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€ 142.506,00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€ 142.506,00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€ 142.506,00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TOTALI RICAVI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€ 133.300,00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€ 145.250,00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€ 145.516,00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€ 156.766,00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€ 156.766,00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€ 157.764,00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€ 157.764,00</w:t>
            </w:r>
          </w:p>
        </w:tc>
      </w:tr>
    </w:tbl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962.000000000002" w:type="dxa"/>
        <w:jc w:val="left"/>
        <w:tblLayout w:type="fixed"/>
        <w:tblLook w:val="0400"/>
      </w:tblPr>
      <w:tblGrid>
        <w:gridCol w:w="1828"/>
        <w:gridCol w:w="1016"/>
        <w:gridCol w:w="1016"/>
        <w:gridCol w:w="1017"/>
        <w:gridCol w:w="1017"/>
        <w:gridCol w:w="1017"/>
        <w:gridCol w:w="1017"/>
        <w:gridCol w:w="1017"/>
        <w:gridCol w:w="1017"/>
        <w:tblGridChange w:id="0">
          <w:tblGrid>
            <w:gridCol w:w="1828"/>
            <w:gridCol w:w="1016"/>
            <w:gridCol w:w="1016"/>
            <w:gridCol w:w="1017"/>
            <w:gridCol w:w="1017"/>
            <w:gridCol w:w="1017"/>
            <w:gridCol w:w="1017"/>
            <w:gridCol w:w="1017"/>
            <w:gridCol w:w="1017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VOCE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2034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2035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RICAVI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Sponsorizzazioni e pubblicità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€ 3.503,00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€ 3.503,00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€ 3.749,00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€ 3.936,00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€ 3.936,00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€ 3.936,00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€ 4.015,00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€ 4.095,00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affitti e società sportive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€ 4.882,00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€ 4.882,00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€ 5.224,00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€ 5.485,00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€ 5.485,00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€ 5.485,00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€ 5.595,00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€ 5.707,00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calcetto e attività amatoriali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€ 3.854,00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€ 3.854,00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€ 4.123,00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€ 4.329,00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€ 4.329,00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€ 4.329,00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€ 4.416,00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€ 4.504,00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corrispettivi bar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€ 4.087,00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€ 4.087,00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€ 4.373,00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€ 4.592,00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€ 4.592,00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€ 4.592,00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€ 4.684,00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€ 4.778,00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quote associative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€ 148.206,00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€ 148.206,00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€ 148.206,00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€ 155.616,00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€ 155.616,00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€ 155.616,00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€ 166.509,00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€ 166.509,00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TOTALI RICAVI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€ 164.532,00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€ 164.532,00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€ 165.675,00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€ 173.958,00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€ 173.958,00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€ 173.958,00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€ 185.219,00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€ 185.593,00</w:t>
            </w:r>
          </w:p>
        </w:tc>
      </w:tr>
    </w:tbl>
    <w:p w:rsidR="00000000" w:rsidDel="00000000" w:rsidP="00000000" w:rsidRDefault="00000000" w:rsidRPr="00000000" w14:paraId="0000013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Per il calcolo dei ricavi, si è stimato un risultato in continuità con l’attuale gestione, prevendendo una media di 500 tesserati annui per 9 mesi per 32 euro di versamento mensile. Per l’anno iniziale i ricavi sono stati ragguagliati ai 10 mesi, ipotizzando l’avvio per il mese di marzo. 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Gli altri ricavi sono dovuti agli affitti degli spazi, dati difficilmente prevedibile, dal momento che può variare sia in base al numero di ore che al numero di associazioni. Si è fatto anche in questo caso una media rispetto allo storico degli attuali gestori.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Formazione costi</w:t>
      </w:r>
    </w:p>
    <w:tbl>
      <w:tblPr>
        <w:tblStyle w:val="Table6"/>
        <w:tblW w:w="9967.0" w:type="dxa"/>
        <w:jc w:val="left"/>
        <w:tblLayout w:type="fixed"/>
        <w:tblLook w:val="0400"/>
      </w:tblPr>
      <w:tblGrid>
        <w:gridCol w:w="2714"/>
        <w:gridCol w:w="1037"/>
        <w:gridCol w:w="1036"/>
        <w:gridCol w:w="1036"/>
        <w:gridCol w:w="1036"/>
        <w:gridCol w:w="1036"/>
        <w:gridCol w:w="1036"/>
        <w:gridCol w:w="1036"/>
        <w:tblGridChange w:id="0">
          <w:tblGrid>
            <w:gridCol w:w="2714"/>
            <w:gridCol w:w="1037"/>
            <w:gridCol w:w="1036"/>
            <w:gridCol w:w="1036"/>
            <w:gridCol w:w="1036"/>
            <w:gridCol w:w="1036"/>
            <w:gridCol w:w="1036"/>
            <w:gridCol w:w="103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2026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2027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2028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2029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COSTI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Acquisti e forniture bar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€ 1.286,00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€ 1.286,00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€ 1.285,00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4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€ 1.375,00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€ 1.375,00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Assicurazioni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€ 2.550,00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€ 2.550,00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€ 2.601,00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€ 2.653,00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€ 2.706,00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Attrezzature apparecchiature arredi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Cancelleria e tipografia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€ 3.121,00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€ 3.184,00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€ 3.247,00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Concorso spese utenze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€ 9.000,00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Consulenze legali e professionali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€ 3.121,00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€ 3.184,00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€ 3.247,00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Consulenze tecniche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€ 1.020,00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€ 1.020,00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€ 1.051,00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€ 1.082,00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€ 1.115,00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Manutenzioni ordinarie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Oneri bancari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Promozione sportiva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€ 3.090,00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€ 3.090,00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€ 3.183,00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€ 3.278,00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€ 3.377,00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Ammortamento spogliatoi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A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9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Ammortamento avvio concessione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Pulizie ordinarie e straordinarie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€ 9.785,00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€ 12.360,00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Telefonia e comunicazioni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€ 750,00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€ 750,00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€ 765,00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€ 765,00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€ 780,00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€ 796,00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€ 812,00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Tesseramenti federali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€ 3.121,00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€ 3.184,00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€ 3.247,00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Istruttori allenatori collaboratori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€ 84.460,00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€ 84.460,00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€ 86.994,00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€ 89.604,00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€ 89.604,00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tasse, imposte, f24, siae, spese postali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€ 8.670,00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€ 10.200,00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€ 10.404,00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€ 10.612,00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utenze a carico, acqua e TARI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€ 4.120,00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€ 4.200,00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€ 4.326,00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€ 4.456,00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€ 4.589,00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8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TOTALI COSTI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€ 129.807,00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€ 137.807,00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€ 138.043,00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€ 145.833,40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€ 150.425,40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€ 153.713,40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D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€ 155.444,40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E0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RISULTATO DI ESERCIZIO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€ 3.493,00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€ 7.443,00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E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€ 7.473,00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E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€ 10.932,60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E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€ 6.340,60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E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€ 4.050,60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E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€ 2.319,60</w:t>
            </w:r>
          </w:p>
        </w:tc>
      </w:tr>
    </w:tbl>
    <w:p w:rsidR="00000000" w:rsidDel="00000000" w:rsidP="00000000" w:rsidRDefault="00000000" w:rsidRPr="00000000" w14:paraId="000001E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967.0" w:type="dxa"/>
        <w:jc w:val="left"/>
        <w:tblLayout w:type="fixed"/>
        <w:tblLook w:val="0400"/>
      </w:tblPr>
      <w:tblGrid>
        <w:gridCol w:w="2447"/>
        <w:gridCol w:w="940"/>
        <w:gridCol w:w="940"/>
        <w:gridCol w:w="940"/>
        <w:gridCol w:w="940"/>
        <w:gridCol w:w="940"/>
        <w:gridCol w:w="940"/>
        <w:gridCol w:w="940"/>
        <w:gridCol w:w="940"/>
        <w:tblGridChange w:id="0">
          <w:tblGrid>
            <w:gridCol w:w="2447"/>
            <w:gridCol w:w="940"/>
            <w:gridCol w:w="940"/>
            <w:gridCol w:w="940"/>
            <w:gridCol w:w="940"/>
            <w:gridCol w:w="940"/>
            <w:gridCol w:w="940"/>
            <w:gridCol w:w="940"/>
            <w:gridCol w:w="94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1EA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2034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2035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E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E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F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F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2039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1F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8"/>
                <w:szCs w:val="18"/>
                <w:rtl w:val="0"/>
              </w:rPr>
              <w:t xml:space="preserve">2040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COSTI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9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A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1FB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F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Acquisti e forniture bar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F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€ 1.471,00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F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€ 1.471,00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€ 1.574,00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€ 1.653,00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€ 1.653,00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€ 1.653,00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€ 1.686,00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€ 1.720,00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Assicurazioni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€ 2.760,00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€ 2.760,00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€ 2.872,00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€ 2.958,00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€ 2.958,00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€ 2.958,00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€ 3.047,00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€ 3.138,00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Attrezzature apparecchiature arredi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Cancelleria e tipografia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€ 3.312,00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€ 3.312,00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€ 3.446,00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€ 3.655,00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1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€ 3.765,00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Concorso spese utenze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€ 10.000,00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Consulenze legali e professionali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€ 3.247,00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€ 3.247,00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€ 3.446,00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€ 3.655,00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€ 3.765,00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Consulenze tecniche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€ 1.148,00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€ 1.182,00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€ 1.218,00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€ 1.255,00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€ 1.255,00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€ 1.255,00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€ 1.293,00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€ 1.332,00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Manutenzioni ordinarie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3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€ 2.060,00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Oneri bancari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€ 1.500,00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Promozione sportiva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€ 3.478,00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4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€ 3.582,00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€ 3.801,00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€ 3.801,00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€ 3.801,00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€ 3.915,00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€ 4.032,00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6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Ammortamento spogliatoi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€ 3.665,40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5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Ammortamento avvio concessione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€ 557,00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Pulizie ordinarie e straordinarie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€ 12.731,00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Telefonia e comunicazioni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€ 828,00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€ 845,00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€ 845,00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€ 888,00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€ 888,00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€ 888,00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€ 915,00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€ 942,00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A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Tesseramenti federali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€ 3.312,00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€ 3.378,00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€ 3.446,00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7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€ 3.549,00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€ 3.655,00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€ 3.765,00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Istruttori  allenatori collaboratori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€ 95.060,00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€ 95.060,00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€ 95.060,00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€ 100.850,00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€ 100.850,00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€ 100.850,00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€ 103.876,00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€ 110.202,00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tasse, imposte, f24, Siae, spese postali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€ 10.824,00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E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€ 11.041,00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8F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€ 11.262,00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€ 11.600,00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€ 11.600,00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2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€ 11.600,00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€ 11.948,00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4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€ 12.306,00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utenze a carico, acqua e TARI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6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€ 4.727,00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€ 4.869,00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8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€ 5.015,00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9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€ 5.165,00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A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€ 5.165,00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B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€ 5.165,00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€ 5.320,00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D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€ 5.480,00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E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TOTALI COSTI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9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€ 161.680,40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€ 162.260,40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€ 163.279,40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€ 170.330,40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€ 171.330,40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€ 171.330,40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€ 175.478,40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€ 182.960,40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7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8"/>
                <w:szCs w:val="18"/>
                <w:rtl w:val="0"/>
              </w:rPr>
              <w:t xml:space="preserve">RISULTATO DI ESERCIZIO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€ 2.851,60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€ 2.271,60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€ 2.395,60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€ 3.627,60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€ 2.627,60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€ 2.627,60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€ 9.740,60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A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€ 2.632,60</w:t>
            </w:r>
          </w:p>
        </w:tc>
      </w:tr>
    </w:tbl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 xml:space="preserve">Si precisa che è stata prevista: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Capitalizzazione dall’anno 2026 dei costi di avvio della concessione e ammortamento lungo la durata della concessione stessa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Capitalizzazione interventi spogliatoio nell’anno e ammortamento sul tempo residuo della concessione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Quota prevista a carico delle utenze così come specificato nel paragrafo precedente 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L’andamento dei costi (così come anche dei ricavi) rispecchia nei 15 anni un leggero incremento dettato dall’aumento prevedibile del costo della vita</w:t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Formazione Stato Patrimoniale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9962.000000000002" w:type="dxa"/>
        <w:jc w:val="left"/>
        <w:tblLayout w:type="fixed"/>
        <w:tblLook w:val="0400"/>
      </w:tblPr>
      <w:tblGrid>
        <w:gridCol w:w="2850"/>
        <w:gridCol w:w="1016"/>
        <w:gridCol w:w="1016"/>
        <w:gridCol w:w="1016"/>
        <w:gridCol w:w="1016"/>
        <w:gridCol w:w="1016"/>
        <w:gridCol w:w="1016"/>
        <w:gridCol w:w="1016"/>
        <w:tblGridChange w:id="0">
          <w:tblGrid>
            <w:gridCol w:w="2850"/>
            <w:gridCol w:w="1016"/>
            <w:gridCol w:w="1016"/>
            <w:gridCol w:w="1016"/>
            <w:gridCol w:w="1016"/>
            <w:gridCol w:w="1016"/>
            <w:gridCol w:w="1016"/>
            <w:gridCol w:w="101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B9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Voce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B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B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B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B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B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B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C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ATTIVO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C3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C4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C6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C7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C8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C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Cassa e disponibilità liquide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C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€ 8.695,00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C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€ 16.695,00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C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€ 24.725,00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C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€ 395,23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C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€ 10.958,23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C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€ 19.231,23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€ 25.773,23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Immobilizzazioni nette (spogliatoi)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€ 40.319,37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€ 36.653,98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€ 32.988,58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€ 29.323,18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Immobilizzazioni nette (spogliatoi)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€ 7.798,00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€ 7.241,00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€ 6.684,00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€ 6.127,00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€ 5.570,00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D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€ 5.013,00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€ 4.456,00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1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Totale attivo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€ 16.493,00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€ 23.936,00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€ 31.409,00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€ 46.841,60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€ 53.182,21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€ 57.232,81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2E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€ 59.552,41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E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EA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EB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EC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ED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EE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EF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F0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2F1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F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F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F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F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F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F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2F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F9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PASSIVO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FA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FB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FC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FD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FE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2FF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300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Avanzi di gestione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€ 3.493,00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€ 10.936,00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€ 18.409,00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€ 29.341,60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€ 35.682,21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€ 39.732,81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€ 42.052,41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Apporto soci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0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Debiti finanziari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9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Totale passivo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€ 16.493,00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€ 23.936,00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€ 31.409,00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€ 46.841,60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€ 53.182,21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€ 57.232,81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2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€ 59.552,41</w:t>
            </w:r>
          </w:p>
        </w:tc>
      </w:tr>
    </w:tbl>
    <w:p w:rsidR="00000000" w:rsidDel="00000000" w:rsidP="00000000" w:rsidRDefault="00000000" w:rsidRPr="00000000" w14:paraId="000003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962.0" w:type="dxa"/>
        <w:jc w:val="left"/>
        <w:tblLayout w:type="fixed"/>
        <w:tblLook w:val="0400"/>
      </w:tblPr>
      <w:tblGrid>
        <w:gridCol w:w="2242"/>
        <w:gridCol w:w="965"/>
        <w:gridCol w:w="965"/>
        <w:gridCol w:w="965"/>
        <w:gridCol w:w="965"/>
        <w:gridCol w:w="965"/>
        <w:gridCol w:w="965"/>
        <w:gridCol w:w="965"/>
        <w:gridCol w:w="965"/>
        <w:tblGridChange w:id="0">
          <w:tblGrid>
            <w:gridCol w:w="2242"/>
            <w:gridCol w:w="965"/>
            <w:gridCol w:w="965"/>
            <w:gridCol w:w="965"/>
            <w:gridCol w:w="965"/>
            <w:gridCol w:w="965"/>
            <w:gridCol w:w="965"/>
            <w:gridCol w:w="965"/>
            <w:gridCol w:w="96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3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Voce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2034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2035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2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32C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ATTIVO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32D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32E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2F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30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31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32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33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34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Cassa e disponibilità liquide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€ 32.847,23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€ 39.341,23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€ 45.959,23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€ 53.809,23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€ 60.659,23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€ 67.509,23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€ 81.472,23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€ 88.327,23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Immobilizzazioni nette (spogliatoi)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3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€ 25.657,78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€ 21.992,39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1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€ 18.326,99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€ 14.661,59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€ 10.996,19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€ 7.330,80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€ 3.665,40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Immobilizzazioni nette (spogliatoi)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€ 3.899,00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€ 3.342,00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€ 2.785,00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€ 2.228,00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€ 1.671,00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€ 1.114,00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€ 557,00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4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0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Totale attivo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€ 62.404,01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€ 64.675,62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€ 67.071,22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€ 70.698,82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€ 73.326,42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€ 75.954,03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€ 85.694,63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5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€ 88.327,23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5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5A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5B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5C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5D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5E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5F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60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61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62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6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6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2034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6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2035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6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6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6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6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6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36B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PASSIVO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36C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e1f2" w:val="clear"/>
            <w:vAlign w:val="bottom"/>
          </w:tcPr>
          <w:p w:rsidR="00000000" w:rsidDel="00000000" w:rsidP="00000000" w:rsidRDefault="00000000" w:rsidRPr="00000000" w14:paraId="0000036D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6E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6F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70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71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72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373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Avanzi di gestione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€ 44.904,01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€ 47.175,62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€ 49.571,22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€ 53.198,82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€ 55.826,42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€ 58.454,03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€ 68.194,63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€ 70.827,23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Apporto soci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7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1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€ 17.500,00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Debiti finanziari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8F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Totale passivo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9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€ 62.404,01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9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€ 64.675,62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9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€ 67.071,22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9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€ 70.698,82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9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€ 73.326,42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9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€ 75.954,03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9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€ 85.694,63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9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€ 88.327,23</w:t>
            </w:r>
          </w:p>
        </w:tc>
      </w:tr>
    </w:tbl>
    <w:p w:rsidR="00000000" w:rsidDel="00000000" w:rsidP="00000000" w:rsidRDefault="00000000" w:rsidRPr="00000000" w14:paraId="000003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rPr/>
      </w:pPr>
      <w:r w:rsidDel="00000000" w:rsidR="00000000" w:rsidRPr="00000000">
        <w:rPr>
          <w:rtl w:val="0"/>
        </w:rPr>
        <w:t xml:space="preserve">Si segnala che:</w:t>
      </w:r>
    </w:p>
    <w:p w:rsidR="00000000" w:rsidDel="00000000" w:rsidP="00000000" w:rsidRDefault="00000000" w:rsidRPr="00000000" w14:paraId="0000039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74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È stato previsto un apporto dei soci sia in fase di avvio nell’anno 2026 di euro 13.000 e un ulteriore apporto nell’anno 2029 dell’investimento spogliatoi pari a euro 4.500, per permettere all’associazione di avviare l’attività e di sostenere l’investimento attraverso l’autofinanziamento. </w:t>
      </w:r>
    </w:p>
    <w:p w:rsidR="00000000" w:rsidDel="00000000" w:rsidP="00000000" w:rsidRDefault="00000000" w:rsidRPr="00000000" w14:paraId="0000039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74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Tutti gli avanzi di gestione verranno reinvestiti nell’Associazione stessa</w:t>
      </w:r>
    </w:p>
    <w:p w:rsidR="00000000" w:rsidDel="00000000" w:rsidP="00000000" w:rsidRDefault="00000000" w:rsidRPr="00000000" w14:paraId="000003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Cash Flow</w:t>
      </w:r>
    </w:p>
    <w:tbl>
      <w:tblPr>
        <w:tblStyle w:val="Table10"/>
        <w:tblW w:w="9962.0" w:type="dxa"/>
        <w:jc w:val="left"/>
        <w:tblLayout w:type="fixed"/>
        <w:tblLook w:val="0400"/>
      </w:tblPr>
      <w:tblGrid>
        <w:gridCol w:w="3086"/>
        <w:gridCol w:w="896"/>
        <w:gridCol w:w="988"/>
        <w:gridCol w:w="988"/>
        <w:gridCol w:w="1040"/>
        <w:gridCol w:w="988"/>
        <w:gridCol w:w="988"/>
        <w:gridCol w:w="988"/>
        <w:tblGridChange w:id="0">
          <w:tblGrid>
            <w:gridCol w:w="3086"/>
            <w:gridCol w:w="896"/>
            <w:gridCol w:w="988"/>
            <w:gridCol w:w="988"/>
            <w:gridCol w:w="1040"/>
            <w:gridCol w:w="988"/>
            <w:gridCol w:w="988"/>
            <w:gridCol w:w="988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A1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Voce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A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A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A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A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A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A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A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A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Operating Cash Flow (proxy EBITDA)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A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€ 4.050,00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A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€ 8.000,00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A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€ 8.030,00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A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€ 15.155,00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A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€ 10.563,00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A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€ 8.273,00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€ 6.542,00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Investing Cash Flow (CAPEX spogliatoi)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-€ 43.984,77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Investing Cash Flow (CAPEX avvio concessione)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-€ 8.355,00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B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Financing Cash Flow (fondo+apporto soci)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€ 13.000,00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€ 4.500,00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9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Variazione netta cassa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€ 8.695,00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€ 8.030,00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-€ 24.329,77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€ 10.563,00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C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€ 8.273,00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€ 6.542,00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Cassa iniziale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€ 8.695,00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€ 16.695,00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€ 24.725,00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€ 395,23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€ 10.958,23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€ 19.231,23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9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Cassa finale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€ 8.695,00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€ 16.695,00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€ 24.725,00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€ 395,23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€ 10.958,23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D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€ 19.231,23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E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€ 25.773,23</w:t>
            </w:r>
          </w:p>
        </w:tc>
      </w:tr>
    </w:tbl>
    <w:p w:rsidR="00000000" w:rsidDel="00000000" w:rsidP="00000000" w:rsidRDefault="00000000" w:rsidRPr="00000000" w14:paraId="000003E1">
      <w:pPr>
        <w:rPr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62.0" w:type="dxa"/>
        <w:jc w:val="left"/>
        <w:tblLayout w:type="fixed"/>
        <w:tblLook w:val="0400"/>
      </w:tblPr>
      <w:tblGrid>
        <w:gridCol w:w="2773"/>
        <w:gridCol w:w="898"/>
        <w:gridCol w:w="898"/>
        <w:gridCol w:w="898"/>
        <w:gridCol w:w="899"/>
        <w:gridCol w:w="899"/>
        <w:gridCol w:w="899"/>
        <w:gridCol w:w="899"/>
        <w:gridCol w:w="899"/>
        <w:tblGridChange w:id="0">
          <w:tblGrid>
            <w:gridCol w:w="2773"/>
            <w:gridCol w:w="898"/>
            <w:gridCol w:w="898"/>
            <w:gridCol w:w="898"/>
            <w:gridCol w:w="899"/>
            <w:gridCol w:w="899"/>
            <w:gridCol w:w="899"/>
            <w:gridCol w:w="899"/>
            <w:gridCol w:w="899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2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Voce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2034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2035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3E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E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Operating Cash Flow (proxy EBITDA)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E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€ 7.074,00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E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€ 6.494,00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E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€ 6.618,00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E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€ 7.850,00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1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€ 13.963,00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€ 6.855,00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Investing Cash Flow (CAPEX spogliatoi)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Investing Cash Flow (CAPEX avvio concessione)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3F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1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2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3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5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Financing Cash Flow (fondo+apporto soci)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0F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Variazione netta cassa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€ 7.074,00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€ 6.494,00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€ 6.618,00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€ 13.963,00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€ 6.855,00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Cassa iniziale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€ 25.773,23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A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€ 32.847,23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B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€ 39.341,23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C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€ 45.959,23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D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€ 53.809,23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E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€ 60.659,23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1F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€ 67.509,23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€ 81.472,23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1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Cassa finale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€ 32.847,23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€ 39.341,23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€ 45.959,23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€ 53.809,23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€ 60.659,23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€ 67.509,23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€ 81.472,23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2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€ 88.327,23</w:t>
            </w:r>
          </w:p>
        </w:tc>
      </w:tr>
    </w:tbl>
    <w:p w:rsidR="00000000" w:rsidDel="00000000" w:rsidP="00000000" w:rsidRDefault="00000000" w:rsidRPr="00000000" w14:paraId="0000042A">
      <w:pPr>
        <w:rPr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B">
      <w:pPr>
        <w:rPr/>
      </w:pPr>
      <w:r w:rsidDel="00000000" w:rsidR="00000000" w:rsidRPr="00000000">
        <w:rPr>
          <w:rtl w:val="0"/>
        </w:rPr>
        <w:t xml:space="preserve">Il cash flow è stato calcolando partendo dall’EBITDA (si è utilizzato come proxy il risultato finale aumentato degli ammortamenti) a cui si è tolto il CAPEX nelle annualità n. 1 e n. 4 e si è aggiunto l’apporto soci sempre nell’annualità n. 1 e n. 4. </w:t>
      </w:r>
    </w:p>
    <w:p w:rsidR="00000000" w:rsidDel="00000000" w:rsidP="00000000" w:rsidRDefault="00000000" w:rsidRPr="00000000" w14:paraId="000004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Indicatori</w:t>
      </w:r>
    </w:p>
    <w:p w:rsidR="00000000" w:rsidDel="00000000" w:rsidP="00000000" w:rsidRDefault="00000000" w:rsidRPr="00000000" w14:paraId="00000430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Per calcolare il VAN e TIR post investimento si sono attualizzati i flussi di cassa al tasso WACC.</w:t>
      </w:r>
    </w:p>
    <w:tbl>
      <w:tblPr>
        <w:tblStyle w:val="Table12"/>
        <w:tblW w:w="9972.0" w:type="dxa"/>
        <w:jc w:val="left"/>
        <w:tblLayout w:type="fixed"/>
        <w:tblLook w:val="0400"/>
      </w:tblPr>
      <w:tblGrid>
        <w:gridCol w:w="3507"/>
        <w:gridCol w:w="1616"/>
        <w:gridCol w:w="921"/>
        <w:gridCol w:w="921"/>
        <w:gridCol w:w="1070"/>
        <w:gridCol w:w="1016"/>
        <w:gridCol w:w="921"/>
        <w:tblGridChange w:id="0">
          <w:tblGrid>
            <w:gridCol w:w="3507"/>
            <w:gridCol w:w="1616"/>
            <w:gridCol w:w="921"/>
            <w:gridCol w:w="921"/>
            <w:gridCol w:w="1070"/>
            <w:gridCol w:w="1016"/>
            <w:gridCol w:w="921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32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33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34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35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36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37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38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Voce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3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3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3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3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2029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3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2030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3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Variazione netta cassa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4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€ 8.695,00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4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4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€ 8.030,00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4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-€ 28.829,77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4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€ 10.563,00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4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€ 8.273,00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WACC 10%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7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9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A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B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C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D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E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4F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0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1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2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3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Cash flow attualizzati</w:t>
            </w:r>
          </w:p>
        </w:tc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5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€ 7.904,55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5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€ 6.611,57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5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€ 6.033,06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5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-€ 19.691,12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5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€ 6.558,79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5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€ 4.669,89</w:t>
            </w:r>
          </w:p>
        </w:tc>
      </w:tr>
    </w:tbl>
    <w:p w:rsidR="00000000" w:rsidDel="00000000" w:rsidP="00000000" w:rsidRDefault="00000000" w:rsidRPr="00000000" w14:paraId="0000045B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972.0" w:type="dxa"/>
        <w:jc w:val="left"/>
        <w:tblLayout w:type="fixed"/>
        <w:tblLook w:val="0400"/>
      </w:tblPr>
      <w:tblGrid>
        <w:gridCol w:w="1746"/>
        <w:gridCol w:w="903"/>
        <w:gridCol w:w="903"/>
        <w:gridCol w:w="904"/>
        <w:gridCol w:w="904"/>
        <w:gridCol w:w="904"/>
        <w:gridCol w:w="904"/>
        <w:gridCol w:w="904"/>
        <w:gridCol w:w="996"/>
        <w:gridCol w:w="904"/>
        <w:tblGridChange w:id="0">
          <w:tblGrid>
            <w:gridCol w:w="1746"/>
            <w:gridCol w:w="903"/>
            <w:gridCol w:w="903"/>
            <w:gridCol w:w="904"/>
            <w:gridCol w:w="904"/>
            <w:gridCol w:w="904"/>
            <w:gridCol w:w="904"/>
            <w:gridCol w:w="904"/>
            <w:gridCol w:w="996"/>
            <w:gridCol w:w="90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D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E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5F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60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61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62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63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64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65">
            <w:pPr>
              <w:spacing w:after="0" w:line="24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9e9e9e" w:space="0" w:sz="4" w:val="single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6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Voce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2032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2034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A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2035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B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2036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C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D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E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2039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shd w:fill="1f4e79" w:val="clear"/>
            <w:vAlign w:val="bottom"/>
          </w:tcPr>
          <w:p w:rsidR="00000000" w:rsidDel="00000000" w:rsidP="00000000" w:rsidRDefault="00000000" w:rsidRPr="00000000" w14:paraId="0000046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color w:val="ffffff"/>
                <w:sz w:val="16"/>
                <w:szCs w:val="16"/>
                <w:rtl w:val="0"/>
              </w:rPr>
              <w:t xml:space="preserve">2040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9e9e9e" w:space="0" w:sz="4" w:val="single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0">
            <w:pPr>
              <w:spacing w:after="0" w:line="240" w:lineRule="auto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Variazione netta cassa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€ 3.854,00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€ 7.074,00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€ 6.494,00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€ 6.618,00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€ 7.850,00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€ 3.824,00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€ 3.824,00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8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€ 10.847,00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79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€ 6.855,00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7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WACC 10%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7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7C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7D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7E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7F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0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1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2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3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4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5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6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7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8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9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A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B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C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D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48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Cash flow attualizzati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8F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€ 1.977,71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90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€ 3.300,07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91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€ 2.754,09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92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€ 2.551,53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93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€ 2.751,38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94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€ 1.218,44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95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€ 1.107,68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96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€ 2.856,35</w:t>
            </w:r>
          </w:p>
        </w:tc>
        <w:tc>
          <w:tcPr>
            <w:tcBorders>
              <w:top w:color="9e9e9e" w:space="0" w:sz="4" w:val="single"/>
              <w:left w:color="000000" w:space="0" w:sz="0" w:val="nil"/>
              <w:bottom w:color="9e9e9e" w:space="0" w:sz="4" w:val="single"/>
              <w:right w:color="9e9e9e" w:space="0" w:sz="4" w:val="single"/>
            </w:tcBorders>
            <w:vAlign w:val="bottom"/>
          </w:tcPr>
          <w:p w:rsidR="00000000" w:rsidDel="00000000" w:rsidP="00000000" w:rsidRDefault="00000000" w:rsidRPr="00000000" w14:paraId="00000497">
            <w:pPr>
              <w:spacing w:after="0" w:line="240" w:lineRule="auto"/>
              <w:jc w:val="right"/>
              <w:rPr>
                <w:rFonts w:ascii="Cambria" w:cs="Cambria" w:eastAsia="Cambria" w:hAnsi="Cambria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€ 1.641,03</w:t>
            </w:r>
          </w:p>
        </w:tc>
      </w:tr>
    </w:tbl>
    <w:p w:rsidR="00000000" w:rsidDel="00000000" w:rsidP="00000000" w:rsidRDefault="00000000" w:rsidRPr="00000000" w14:paraId="00000498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9">
      <w:pPr>
        <w:rPr/>
      </w:pPr>
      <w:r w:rsidDel="00000000" w:rsidR="00000000" w:rsidRPr="00000000">
        <w:rPr>
          <w:rtl w:val="0"/>
        </w:rPr>
        <w:t xml:space="preserve">Il VAN, ovvero il valore attuale netto dei flussi di cassa attesi attualizzati risulta essere positivo pari a euro 32.245,02.</w:t>
      </w:r>
    </w:p>
    <w:p w:rsidR="00000000" w:rsidDel="00000000" w:rsidP="00000000" w:rsidRDefault="00000000" w:rsidRPr="00000000" w14:paraId="0000049A">
      <w:pPr>
        <w:rPr/>
      </w:pPr>
      <w:r w:rsidDel="00000000" w:rsidR="00000000" w:rsidRPr="00000000">
        <w:rPr>
          <w:rtl w:val="0"/>
        </w:rPr>
        <w:t xml:space="preserve">Il TIR post investimento risulta essere pari al 23%</w:t>
      </w:r>
    </w:p>
    <w:p w:rsidR="00000000" w:rsidDel="00000000" w:rsidP="00000000" w:rsidRDefault="00000000" w:rsidRPr="00000000" w14:paraId="0000049B">
      <w:pPr>
        <w:pStyle w:val="Heading1"/>
        <w:rPr/>
      </w:pPr>
      <w:r w:rsidDel="00000000" w:rsidR="00000000" w:rsidRPr="00000000">
        <w:rPr>
          <w:rtl w:val="0"/>
        </w:rPr>
        <w:t xml:space="preserve">6. Principali rischi e misure di mitigazione</w:t>
      </w:r>
    </w:p>
    <w:p w:rsidR="00000000" w:rsidDel="00000000" w:rsidP="00000000" w:rsidRDefault="00000000" w:rsidRPr="00000000" w14:paraId="0000049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Incremento costi energetici: Profilo concorso utenze definito e monitoraggio consumi; azioni di efficientamento ove applicabili.</w:t>
      </w:r>
    </w:p>
    <w:p w:rsidR="00000000" w:rsidDel="00000000" w:rsidP="00000000" w:rsidRDefault="00000000" w:rsidRPr="00000000" w14:paraId="0000049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Variazione base associativa: Politiche tariffarie progressive e valorizzazione del servizio (spogliatoi rinnovati) per aumentare fidelizzazione.</w:t>
      </w:r>
    </w:p>
    <w:p w:rsidR="00000000" w:rsidDel="00000000" w:rsidP="00000000" w:rsidRDefault="00000000" w:rsidRPr="00000000" w14:paraId="0000049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Rischio manutentivo: Avanzi contenuti destinati a manutenzioni e rinnovo attrezzature; pianificazione interventi.</w:t>
      </w:r>
    </w:p>
    <w:p w:rsidR="00000000" w:rsidDel="00000000" w:rsidP="00000000" w:rsidRDefault="00000000" w:rsidRPr="00000000" w14:paraId="0000049F">
      <w:pPr>
        <w:pStyle w:val="Heading1"/>
        <w:rPr/>
      </w:pPr>
      <w:r w:rsidDel="00000000" w:rsidR="00000000" w:rsidRPr="00000000">
        <w:rPr>
          <w:rtl w:val="0"/>
        </w:rPr>
        <w:t xml:space="preserve">7. Allegati</w:t>
      </w:r>
    </w:p>
    <w:p w:rsidR="00000000" w:rsidDel="00000000" w:rsidP="00000000" w:rsidRDefault="00000000" w:rsidRPr="00000000" w14:paraId="000004A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Excel PEF (parametri, prospetti riclassificati, indicatori e dati origine).</w:t>
      </w:r>
    </w:p>
    <w:p w:rsidR="00000000" w:rsidDel="00000000" w:rsidP="00000000" w:rsidRDefault="00000000" w:rsidRPr="00000000" w14:paraId="000004A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2">
      <w:pPr>
        <w:pStyle w:val="Heading1"/>
        <w:rPr/>
      </w:pPr>
      <w:r w:rsidDel="00000000" w:rsidR="00000000" w:rsidRPr="00000000">
        <w:rPr>
          <w:rtl w:val="0"/>
        </w:rPr>
        <w:t xml:space="preserve">8. Sottoscrizione</w:t>
      </w:r>
    </w:p>
    <w:p w:rsidR="00000000" w:rsidDel="00000000" w:rsidP="00000000" w:rsidRDefault="00000000" w:rsidRPr="00000000" w14:paraId="000004A3">
      <w:pPr>
        <w:rPr/>
      </w:pPr>
      <w:r w:rsidDel="00000000" w:rsidR="00000000" w:rsidRPr="00000000">
        <w:rPr>
          <w:rtl w:val="0"/>
        </w:rPr>
        <w:t xml:space="preserve">Passirano (BS),30/01/2026</w:t>
      </w:r>
    </w:p>
    <w:p w:rsidR="00000000" w:rsidDel="00000000" w:rsidP="00000000" w:rsidRDefault="00000000" w:rsidRPr="00000000" w14:paraId="000004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5">
      <w:pPr>
        <w:rPr/>
      </w:pPr>
      <w:r w:rsidDel="00000000" w:rsidR="00000000" w:rsidRPr="00000000">
        <w:rPr>
          <w:rtl w:val="0"/>
        </w:rPr>
        <w:t xml:space="preserve">Il Legale Rappresentante ASD Dinamica - Pensare Sport</w:t>
        <w:br w:type="textWrapping"/>
        <w:br w:type="textWrapping"/>
        <w:t xml:space="preserve">________________________________________</w:t>
        <w:br w:type="textWrapping"/>
      </w:r>
    </w:p>
    <w:p w:rsidR="00000000" w:rsidDel="00000000" w:rsidP="00000000" w:rsidRDefault="00000000" w:rsidRPr="00000000" w14:paraId="000004A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7">
      <w:pPr>
        <w:pStyle w:val="Heading1"/>
        <w:rPr/>
      </w:pPr>
      <w:r w:rsidDel="00000000" w:rsidR="00000000" w:rsidRPr="00000000">
        <w:rPr>
          <w:rtl w:val="0"/>
        </w:rPr>
        <w:t xml:space="preserve">5-bis. Conto Economico, Stato Patrimoniale e Cash Flow</w:t>
      </w:r>
    </w:p>
    <w:p w:rsidR="00000000" w:rsidDel="00000000" w:rsidP="00000000" w:rsidRDefault="00000000" w:rsidRPr="00000000" w14:paraId="000004A8">
      <w:pPr>
        <w:rPr/>
      </w:pPr>
      <w:r w:rsidDel="00000000" w:rsidR="00000000" w:rsidRPr="00000000">
        <w:rPr>
          <w:rtl w:val="0"/>
        </w:rPr>
        <w:t xml:space="preserve">Oltre alla sintesi riportata nel presente documento, il PEF e' corredato da un file Excel che contiene i prospetti completi e tracciabili, costruiti a partire dai bilanci previsionali 2026-2040:</w:t>
      </w:r>
    </w:p>
    <w:p w:rsidR="00000000" w:rsidDel="00000000" w:rsidP="00000000" w:rsidRDefault="00000000" w:rsidRPr="00000000" w14:paraId="000004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Conto Economico previsionale (dettaglio per voci, anno per anno).</w:t>
      </w:r>
    </w:p>
    <w:p w:rsidR="00000000" w:rsidDel="00000000" w:rsidP="00000000" w:rsidRDefault="00000000" w:rsidRPr="00000000" w14:paraId="000004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Stato Patrimoniale previsionale (schema semplificato coerente con le informazioni disponibili: cassa e immobilizzazioni).</w:t>
      </w:r>
    </w:p>
    <w:p w:rsidR="00000000" w:rsidDel="00000000" w:rsidP="00000000" w:rsidRDefault="00000000" w:rsidRPr="00000000" w14:paraId="000004A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Cash Flow previsionale (schema semplificato: OCF/ICF/FCF e cassa finale).</w:t>
      </w:r>
    </w:p>
    <w:p w:rsidR="00000000" w:rsidDel="00000000" w:rsidP="00000000" w:rsidRDefault="00000000" w:rsidRPr="00000000" w14:paraId="000004A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Scheda Parametri/Assunzioni (incl. profilo concorso spese utenze energia/riscaldamento).</w:t>
      </w:r>
    </w:p>
    <w:p w:rsidR="00000000" w:rsidDel="00000000" w:rsidP="00000000" w:rsidRDefault="00000000" w:rsidRPr="00000000" w14:paraId="000004A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Scheda Indicatori (VAN/NPV e TIR/IRR dove statisticamente definibile; DSCR indicato come N/A in assenza di debito bancario).</w:t>
      </w:r>
    </w:p>
    <w:sectPr>
      <w:footerReference r:id="rId8" w:type="default"/>
      <w:pgSz w:h="15840" w:w="12240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Pagina 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4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hyperlink r:id="rId1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Quotazione BTP 5 anni: rendimento obbligazioni - Investing.com</w:t>
        </w:r>
      </w:hyperlink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2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2"/>
      <w:numFmt w:val="bullet"/>
      <w:lvlText w:val="-"/>
      <w:lvlJc w:val="left"/>
      <w:pPr>
        <w:ind w:left="774" w:hanging="359.99999999999994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 w:val="1"/>
    <w:rsid w:val="00FC693F"/>
    <w:pPr>
      <w:spacing w:after="0" w:line="240" w:lineRule="auto"/>
    </w:pPr>
  </w:style>
  <w:style w:type="character" w:styleId="Titolo1Carattere" w:customStyle="1">
    <w:name w:val="Titolo 1 Carattere"/>
    <w:basedOn w:val="Carpredefinitoparagrafo"/>
    <w:link w:val="Titolo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Titolo2Carattere" w:customStyle="1">
    <w:name w:val="Titolo 2 Carattere"/>
    <w:basedOn w:val="Carpredefinitoparagrafo"/>
    <w:link w:val="Titolo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Titolo3Carattere" w:customStyle="1">
    <w:name w:val="Titolo 3 Carattere"/>
    <w:basedOn w:val="Carpredefinitoparagrafo"/>
    <w:link w:val="Titolo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oloCarattere" w:customStyle="1">
    <w:name w:val="Titolo Carattere"/>
    <w:basedOn w:val="Carpredefinitoparagrafo"/>
    <w:link w:val="Titolo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 w:val="1"/>
    <w:rsid w:val="00FC693F"/>
    <w:pPr>
      <w:ind w:left="720"/>
      <w:contextualSpacing w:val="1"/>
    </w:pPr>
  </w:style>
  <w:style w:type="paragraph" w:styleId="Corpotesto">
    <w:name w:val="Body Text"/>
    <w:basedOn w:val="Normale"/>
    <w:link w:val="CorpotestoCarattere"/>
    <w:uiPriority w:val="99"/>
    <w:unhideWhenUsed w:val="1"/>
    <w:rsid w:val="00AA1D8D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 w:val="1"/>
    <w:rsid w:val="00AA1D8D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 w:val="1"/>
    <w:rsid w:val="00AA1D8D"/>
    <w:pPr>
      <w:ind w:left="360" w:hanging="360"/>
      <w:contextualSpacing w:val="1"/>
    </w:pPr>
  </w:style>
  <w:style w:type="paragraph" w:styleId="Elenco2">
    <w:name w:val="List 2"/>
    <w:basedOn w:val="Normale"/>
    <w:uiPriority w:val="99"/>
    <w:unhideWhenUsed w:val="1"/>
    <w:rsid w:val="00326F90"/>
    <w:pPr>
      <w:ind w:left="720" w:hanging="360"/>
      <w:contextualSpacing w:val="1"/>
    </w:pPr>
  </w:style>
  <w:style w:type="paragraph" w:styleId="Elenco3">
    <w:name w:val="List 3"/>
    <w:basedOn w:val="Normale"/>
    <w:uiPriority w:val="99"/>
    <w:unhideWhenUsed w:val="1"/>
    <w:rsid w:val="00326F90"/>
    <w:pPr>
      <w:ind w:left="1080" w:hanging="360"/>
      <w:contextualSpacing w:val="1"/>
    </w:pPr>
  </w:style>
  <w:style w:type="paragraph" w:styleId="Puntoelenco">
    <w:name w:val="List Bullet"/>
    <w:basedOn w:val="Normale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Puntoelenco2">
    <w:name w:val="List Bullet 2"/>
    <w:basedOn w:val="Normale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Puntoelenco3">
    <w:name w:val="List Bullet 3"/>
    <w:basedOn w:val="Normale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Numeroelenco">
    <w:name w:val="List Number"/>
    <w:basedOn w:val="Normale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Numeroelenco2">
    <w:name w:val="List Number 2"/>
    <w:basedOn w:val="Normale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Numeroelenco3">
    <w:name w:val="List Number 3"/>
    <w:basedOn w:val="Normale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Elencocontinua">
    <w:name w:val="List Continue"/>
    <w:basedOn w:val="Normale"/>
    <w:uiPriority w:val="99"/>
    <w:unhideWhenUsed w:val="1"/>
    <w:rsid w:val="0029639D"/>
    <w:pPr>
      <w:spacing w:after="120"/>
      <w:ind w:left="360"/>
      <w:contextualSpacing w:val="1"/>
    </w:pPr>
  </w:style>
  <w:style w:type="paragraph" w:styleId="Elencocontinua2">
    <w:name w:val="List Continue 2"/>
    <w:basedOn w:val="Normale"/>
    <w:uiPriority w:val="99"/>
    <w:unhideWhenUsed w:val="1"/>
    <w:rsid w:val="0029639D"/>
    <w:pPr>
      <w:spacing w:after="120"/>
      <w:ind w:left="720"/>
      <w:contextualSpacing w:val="1"/>
    </w:pPr>
  </w:style>
  <w:style w:type="paragraph" w:styleId="Elencocontinua3">
    <w:name w:val="List Continue 3"/>
    <w:basedOn w:val="Normale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Testomacro">
    <w:name w:val="macro"/>
    <w:link w:val="TestomacroCarattere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FC693F"/>
    <w:rPr>
      <w:i w:val="1"/>
      <w:iCs w:val="1"/>
      <w:color w:val="000000" w:themeColor="text1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FC693F"/>
    <w:rPr>
      <w:i w:val="1"/>
      <w:iCs w:val="1"/>
      <w:color w:val="000000" w:themeColor="text1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Didascalia">
    <w:name w:val="caption"/>
    <w:basedOn w:val="Normale"/>
    <w:next w:val="Normale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 w:val="1"/>
    <w:rsid w:val="00FC693F"/>
    <w:rPr>
      <w:b w:val="1"/>
      <w:bCs w:val="1"/>
    </w:rPr>
  </w:style>
  <w:style w:type="character" w:styleId="Enfasicorsivo">
    <w:name w:val="Emphasis"/>
    <w:basedOn w:val="Carpredefinitoparagrafo"/>
    <w:uiPriority w:val="20"/>
    <w:qFormat w:val="1"/>
    <w:rsid w:val="00FC693F"/>
    <w:rPr>
      <w:i w:val="1"/>
      <w:iCs w:val="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Enfasidelicata">
    <w:name w:val="Subtle Emphasis"/>
    <w:basedOn w:val="Carpredefinitoparagrafo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Enfasiintensa">
    <w:name w:val="Intense Emphasis"/>
    <w:basedOn w:val="Carpredefinitoparagrafo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itolosommario">
    <w:name w:val="TOC Heading"/>
    <w:basedOn w:val="Titolo1"/>
    <w:next w:val="Normale"/>
    <w:uiPriority w:val="39"/>
    <w:semiHidden w:val="1"/>
    <w:unhideWhenUsed w:val="1"/>
    <w:qFormat w:val="1"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917A6C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 w:val="1"/>
    <w:unhideWhenUsed w:val="1"/>
    <w:rsid w:val="00917A6C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  <w:lang w:val="it-I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 w:val="1"/>
    <w:rsid w:val="00917A6C"/>
    <w:rPr>
      <w:rFonts w:ascii="Calibri" w:cs="Calibri" w:eastAsia="Calibri" w:hAnsi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 w:val="1"/>
    <w:unhideWhenUsed w:val="1"/>
    <w:rsid w:val="00917A6C"/>
    <w:rPr>
      <w:vertAlign w:val="superscript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it.investing.com/rates-bonds/italy-5-year-bond-yiel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qsDQgzi9ofuKkNzuTZCB3ZcpOA==">CgMxLjA4AHIhMUh0U0tSSGlFWkZ4aVdlVVdldk5hbmNUV2lGaTUyMmFw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2026-02-11T12:18:00Z</dcterms:created>
  <dc:creator>python-docx</dc:creator>
</cp:coreProperties>
</file>